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44" w:rsidRDefault="00C05A8E" w:rsidP="003B40BB">
      <w:pPr>
        <w:jc w:val="center"/>
        <w:rPr>
          <w:rFonts w:cstheme="minorHAnsi"/>
          <w:b/>
          <w:sz w:val="28"/>
          <w:szCs w:val="28"/>
        </w:rPr>
      </w:pPr>
      <w:r w:rsidRPr="00304344">
        <w:rPr>
          <w:rFonts w:cstheme="minorHAnsi"/>
          <w:b/>
          <w:sz w:val="28"/>
          <w:szCs w:val="28"/>
        </w:rPr>
        <w:t>ANALIZ</w:t>
      </w:r>
      <w:r w:rsidR="003B40BB" w:rsidRPr="00304344">
        <w:rPr>
          <w:rFonts w:cstheme="minorHAnsi"/>
          <w:b/>
          <w:sz w:val="28"/>
          <w:szCs w:val="28"/>
        </w:rPr>
        <w:t>A ANKETE ZA STARŠE O ŠOLSKI PREHRANI</w:t>
      </w:r>
      <w:r w:rsidR="009B7BE9" w:rsidRPr="00304344">
        <w:rPr>
          <w:rFonts w:cstheme="minorHAnsi"/>
          <w:b/>
          <w:sz w:val="28"/>
          <w:szCs w:val="28"/>
        </w:rPr>
        <w:t xml:space="preserve"> – 2018/19</w:t>
      </w:r>
    </w:p>
    <w:p w:rsidR="00562145" w:rsidRPr="00D2520D" w:rsidRDefault="00562145" w:rsidP="003B40BB">
      <w:pPr>
        <w:jc w:val="center"/>
        <w:rPr>
          <w:rFonts w:cstheme="minorHAnsi"/>
          <w:b/>
          <w:sz w:val="10"/>
          <w:szCs w:val="10"/>
        </w:rPr>
      </w:pPr>
    </w:p>
    <w:p w:rsidR="002E7573" w:rsidRPr="00304344" w:rsidRDefault="002E7573" w:rsidP="009B7BE9">
      <w:pPr>
        <w:jc w:val="both"/>
        <w:rPr>
          <w:rFonts w:cstheme="minorHAnsi"/>
          <w:sz w:val="24"/>
          <w:szCs w:val="24"/>
        </w:rPr>
      </w:pPr>
      <w:r w:rsidRPr="00304344">
        <w:rPr>
          <w:rFonts w:cstheme="minorHAnsi"/>
          <w:sz w:val="24"/>
          <w:szCs w:val="24"/>
        </w:rPr>
        <w:t>Pestra in uravnotežena prehrana sta ključna dejavnika zdravega življenjskega sloga. Z</w:t>
      </w:r>
      <w:r w:rsidR="00363070" w:rsidRPr="00304344">
        <w:rPr>
          <w:rFonts w:cstheme="minorHAnsi"/>
          <w:sz w:val="24"/>
          <w:szCs w:val="24"/>
        </w:rPr>
        <w:t>dravo prehranjevanje</w:t>
      </w:r>
      <w:r w:rsidRPr="00304344">
        <w:rPr>
          <w:rFonts w:cstheme="minorHAnsi"/>
          <w:sz w:val="24"/>
          <w:szCs w:val="24"/>
        </w:rPr>
        <w:t xml:space="preserve"> je bistveno predvsem v dobi rasti in odraščanja. </w:t>
      </w:r>
      <w:r w:rsidR="00363070" w:rsidRPr="00304344">
        <w:rPr>
          <w:rFonts w:cstheme="minorHAnsi"/>
          <w:sz w:val="24"/>
          <w:szCs w:val="24"/>
        </w:rPr>
        <w:t>Zavedamo se, da so</w:t>
      </w:r>
      <w:r w:rsidRPr="00304344">
        <w:rPr>
          <w:rFonts w:cstheme="minorHAnsi"/>
          <w:sz w:val="24"/>
          <w:szCs w:val="24"/>
        </w:rPr>
        <w:t xml:space="preserve"> okusi različni, </w:t>
      </w:r>
      <w:r w:rsidR="00363070" w:rsidRPr="00304344">
        <w:rPr>
          <w:rFonts w:cstheme="minorHAnsi"/>
          <w:sz w:val="24"/>
          <w:szCs w:val="24"/>
        </w:rPr>
        <w:t xml:space="preserve">zato </w:t>
      </w:r>
      <w:r w:rsidRPr="00304344">
        <w:rPr>
          <w:rFonts w:cstheme="minorHAnsi"/>
          <w:sz w:val="24"/>
          <w:szCs w:val="24"/>
        </w:rPr>
        <w:t xml:space="preserve">smo želeli preveriti, kako šolska prehrana zadovoljuje želje </w:t>
      </w:r>
      <w:r w:rsidR="00363070" w:rsidRPr="00304344">
        <w:rPr>
          <w:rFonts w:cstheme="minorHAnsi"/>
          <w:sz w:val="24"/>
          <w:szCs w:val="24"/>
        </w:rPr>
        <w:t>in potrebe naših učencev in njihovih staršev. V skladu</w:t>
      </w:r>
      <w:r w:rsidRPr="00304344">
        <w:rPr>
          <w:rFonts w:cstheme="minorHAnsi"/>
          <w:sz w:val="24"/>
          <w:szCs w:val="24"/>
        </w:rPr>
        <w:t xml:space="preserve"> z Zakonom o šolski prehrani </w:t>
      </w:r>
      <w:r w:rsidR="00363070" w:rsidRPr="00304344">
        <w:rPr>
          <w:rFonts w:cstheme="minorHAnsi"/>
          <w:sz w:val="24"/>
          <w:szCs w:val="24"/>
        </w:rPr>
        <w:t xml:space="preserve">smo </w:t>
      </w:r>
      <w:r w:rsidR="00DF58F6" w:rsidRPr="00304344">
        <w:rPr>
          <w:rFonts w:cstheme="minorHAnsi"/>
          <w:sz w:val="24"/>
          <w:szCs w:val="24"/>
        </w:rPr>
        <w:t xml:space="preserve">v mesecu maju </w:t>
      </w:r>
      <w:r w:rsidRPr="00304344">
        <w:rPr>
          <w:rFonts w:cstheme="minorHAnsi"/>
          <w:sz w:val="24"/>
          <w:szCs w:val="24"/>
        </w:rPr>
        <w:t xml:space="preserve">izvedli anketo, s katero smo preverili </w:t>
      </w:r>
      <w:r w:rsidR="005C3B7E" w:rsidRPr="00304344">
        <w:rPr>
          <w:rFonts w:cstheme="minorHAnsi"/>
          <w:sz w:val="24"/>
          <w:szCs w:val="24"/>
        </w:rPr>
        <w:t xml:space="preserve">seznanjenost in </w:t>
      </w:r>
      <w:r w:rsidRPr="00304344">
        <w:rPr>
          <w:rFonts w:cstheme="minorHAnsi"/>
          <w:sz w:val="24"/>
          <w:szCs w:val="24"/>
        </w:rPr>
        <w:t>zadovoljstvo s šolsko prehrano.</w:t>
      </w:r>
    </w:p>
    <w:p w:rsidR="003B40BB" w:rsidRPr="00304344" w:rsidRDefault="005C3B7E" w:rsidP="009B7BE9">
      <w:pPr>
        <w:jc w:val="both"/>
        <w:rPr>
          <w:rFonts w:cstheme="minorHAnsi"/>
          <w:sz w:val="24"/>
          <w:szCs w:val="24"/>
        </w:rPr>
      </w:pPr>
      <w:r w:rsidRPr="00304344">
        <w:rPr>
          <w:rFonts w:cstheme="minorHAnsi"/>
          <w:sz w:val="24"/>
          <w:szCs w:val="24"/>
        </w:rPr>
        <w:t xml:space="preserve">Vsak učenec je prejel eno anketo, ki jo je v izpolnjevanje posredoval svojem staršem. </w:t>
      </w:r>
      <w:r w:rsidR="009B7BE9" w:rsidRPr="00304344">
        <w:rPr>
          <w:rFonts w:cstheme="minorHAnsi"/>
          <w:sz w:val="24"/>
          <w:szCs w:val="24"/>
        </w:rPr>
        <w:t>Anketni vprašalnik je izpolnilo 49 staršev</w:t>
      </w:r>
      <w:r w:rsidRPr="00304344">
        <w:rPr>
          <w:rFonts w:cstheme="minorHAnsi"/>
          <w:sz w:val="24"/>
          <w:szCs w:val="24"/>
        </w:rPr>
        <w:t xml:space="preserve"> od skupno 106 učencev</w:t>
      </w:r>
      <w:r w:rsidR="006F6795" w:rsidRPr="00304344">
        <w:rPr>
          <w:rFonts w:cstheme="minorHAnsi"/>
          <w:sz w:val="24"/>
          <w:szCs w:val="24"/>
        </w:rPr>
        <w:t>, kar predstavlja</w:t>
      </w:r>
      <w:r w:rsidRPr="00304344">
        <w:rPr>
          <w:rFonts w:cstheme="minorHAnsi"/>
          <w:sz w:val="24"/>
          <w:szCs w:val="24"/>
        </w:rPr>
        <w:t xml:space="preserve"> 46% </w:t>
      </w:r>
      <w:r w:rsidR="006F6795" w:rsidRPr="00304344">
        <w:rPr>
          <w:rFonts w:cstheme="minorHAnsi"/>
          <w:sz w:val="24"/>
          <w:szCs w:val="24"/>
        </w:rPr>
        <w:t xml:space="preserve">vseh </w:t>
      </w:r>
      <w:r w:rsidRPr="00304344">
        <w:rPr>
          <w:rFonts w:cstheme="minorHAnsi"/>
          <w:sz w:val="24"/>
          <w:szCs w:val="24"/>
        </w:rPr>
        <w:t>staršev</w:t>
      </w:r>
      <w:r w:rsidR="009B7BE9" w:rsidRPr="00304344">
        <w:rPr>
          <w:rFonts w:cstheme="minorHAnsi"/>
          <w:sz w:val="24"/>
          <w:szCs w:val="24"/>
        </w:rPr>
        <w:t xml:space="preserve">. </w:t>
      </w:r>
    </w:p>
    <w:p w:rsidR="006F6795" w:rsidRDefault="006F6795" w:rsidP="009B7BE9">
      <w:pPr>
        <w:jc w:val="both"/>
        <w:rPr>
          <w:rFonts w:cstheme="minorHAnsi"/>
          <w:sz w:val="24"/>
          <w:szCs w:val="24"/>
        </w:rPr>
      </w:pPr>
      <w:r w:rsidRPr="00304344">
        <w:rPr>
          <w:rFonts w:cstheme="minorHAnsi"/>
          <w:sz w:val="24"/>
          <w:szCs w:val="24"/>
        </w:rPr>
        <w:t>Rezultati anketnega vprašalnika so naslednji:</w:t>
      </w:r>
    </w:p>
    <w:p w:rsidR="00562145" w:rsidRPr="00562145" w:rsidRDefault="00562145" w:rsidP="009B7BE9">
      <w:pPr>
        <w:jc w:val="both"/>
        <w:rPr>
          <w:rFonts w:cstheme="minorHAnsi"/>
          <w:sz w:val="16"/>
          <w:szCs w:val="16"/>
        </w:rPr>
      </w:pPr>
    </w:p>
    <w:p w:rsidR="006F6795" w:rsidRPr="00304344" w:rsidRDefault="006F6795" w:rsidP="006F67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344">
        <w:rPr>
          <w:rFonts w:cstheme="minorHAnsi"/>
          <w:b/>
          <w:bCs/>
          <w:sz w:val="24"/>
          <w:szCs w:val="24"/>
        </w:rPr>
        <w:t>Seznanjeni smo s šolskim jedilnikom.</w:t>
      </w:r>
    </w:p>
    <w:tbl>
      <w:tblPr>
        <w:tblW w:w="92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984"/>
        <w:gridCol w:w="1079"/>
        <w:gridCol w:w="4733"/>
      </w:tblGrid>
      <w:tr w:rsidR="00C05A8E" w:rsidRPr="00304344" w:rsidTr="00304344">
        <w:trPr>
          <w:trHeight w:val="170"/>
        </w:trPr>
        <w:tc>
          <w:tcPr>
            <w:tcW w:w="447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B7BE9" w:rsidRPr="00304344" w:rsidRDefault="009B7BE9" w:rsidP="009B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left w:val="nil"/>
            </w:tcBorders>
          </w:tcPr>
          <w:p w:rsidR="00C05A8E" w:rsidRPr="00304344" w:rsidRDefault="00C05A8E" w:rsidP="0030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cstheme="minorHAnsi"/>
                <w:b/>
                <w:bCs/>
                <w:sz w:val="16"/>
                <w:szCs w:val="16"/>
              </w:rPr>
            </w:pPr>
            <w:r w:rsidRPr="00304344">
              <w:rPr>
                <w:rFonts w:cstheme="minorHAnsi"/>
                <w:b/>
                <w:bCs/>
                <w:sz w:val="10"/>
                <w:szCs w:val="10"/>
              </w:rPr>
              <w:t xml:space="preserve">    </w:t>
            </w:r>
            <w:r w:rsidR="00304344" w:rsidRPr="00304344">
              <w:rPr>
                <w:rFonts w:cstheme="minorHAnsi"/>
                <w:b/>
                <w:bCs/>
                <w:sz w:val="10"/>
                <w:szCs w:val="10"/>
              </w:rPr>
              <w:t xml:space="preserve">      </w:t>
            </w:r>
            <w:r w:rsidRPr="00304344">
              <w:rPr>
                <w:rFonts w:cstheme="minorHAnsi"/>
                <w:noProof/>
                <w:sz w:val="16"/>
                <w:szCs w:val="16"/>
                <w:lang w:eastAsia="sl-SI"/>
              </w:rPr>
              <w:t xml:space="preserve">        </w:t>
            </w:r>
            <w:r w:rsidR="00304344" w:rsidRPr="00304344">
              <w:rPr>
                <w:rFonts w:cstheme="minorHAnsi"/>
                <w:noProof/>
                <w:sz w:val="16"/>
                <w:szCs w:val="16"/>
                <w:lang w:eastAsia="sl-SI"/>
              </w:rPr>
              <w:t xml:space="preserve">             </w:t>
            </w:r>
            <w:r w:rsidR="008A0B5C">
              <w:rPr>
                <w:rFonts w:cstheme="minorHAnsi"/>
                <w:b/>
                <w:bCs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2624446" cy="1211283"/>
                  <wp:effectExtent l="0" t="0" r="5080" b="8255"/>
                  <wp:docPr id="3" name="Grafikon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05A8E" w:rsidRPr="00304344" w:rsidTr="00304344">
        <w:trPr>
          <w:trHeight w:val="39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  <w:tc>
          <w:tcPr>
            <w:tcW w:w="4733" w:type="dxa"/>
            <w:vMerge/>
            <w:tcBorders>
              <w:left w:val="single" w:sz="4" w:space="0" w:color="auto"/>
            </w:tcBorders>
          </w:tcPr>
          <w:p w:rsidR="00C05A8E" w:rsidRPr="00304344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05A8E" w:rsidRPr="00304344" w:rsidTr="00304344">
        <w:trPr>
          <w:trHeight w:val="39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1 (redno)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59%</w:t>
            </w:r>
          </w:p>
        </w:tc>
        <w:tc>
          <w:tcPr>
            <w:tcW w:w="4733" w:type="dxa"/>
            <w:vMerge/>
            <w:tcBorders>
              <w:left w:val="single" w:sz="4" w:space="0" w:color="auto"/>
            </w:tcBorders>
          </w:tcPr>
          <w:p w:rsidR="00C05A8E" w:rsidRPr="00304344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5A8E" w:rsidRPr="00304344" w:rsidTr="00304344">
        <w:trPr>
          <w:trHeight w:val="39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2 (občasno)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33%</w:t>
            </w:r>
          </w:p>
        </w:tc>
        <w:tc>
          <w:tcPr>
            <w:tcW w:w="4733" w:type="dxa"/>
            <w:vMerge/>
            <w:tcBorders>
              <w:left w:val="single" w:sz="4" w:space="0" w:color="auto"/>
            </w:tcBorders>
          </w:tcPr>
          <w:p w:rsidR="00C05A8E" w:rsidRPr="00304344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5A8E" w:rsidRPr="00304344" w:rsidTr="00304344">
        <w:trPr>
          <w:trHeight w:val="39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3 (ne)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8%</w:t>
            </w:r>
          </w:p>
        </w:tc>
        <w:tc>
          <w:tcPr>
            <w:tcW w:w="4733" w:type="dxa"/>
            <w:vMerge/>
            <w:tcBorders>
              <w:left w:val="single" w:sz="4" w:space="0" w:color="auto"/>
            </w:tcBorders>
          </w:tcPr>
          <w:p w:rsidR="00C05A8E" w:rsidRPr="00304344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5A8E" w:rsidRPr="00304344" w:rsidTr="00304344">
        <w:trPr>
          <w:trHeight w:val="4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E" w:rsidRPr="00D33EA6" w:rsidRDefault="00C05A8E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4733" w:type="dxa"/>
            <w:vMerge/>
            <w:tcBorders>
              <w:left w:val="single" w:sz="4" w:space="0" w:color="auto"/>
            </w:tcBorders>
          </w:tcPr>
          <w:p w:rsidR="00C05A8E" w:rsidRPr="00304344" w:rsidRDefault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A725E" w:rsidRPr="00304344" w:rsidRDefault="000A725E" w:rsidP="000A725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04344">
        <w:rPr>
          <w:rFonts w:cstheme="minorHAnsi"/>
          <w:sz w:val="16"/>
          <w:szCs w:val="16"/>
        </w:rPr>
        <w:br/>
      </w:r>
    </w:p>
    <w:p w:rsidR="000A725E" w:rsidRPr="00304344" w:rsidRDefault="000A725E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A725E" w:rsidRPr="000C41FA" w:rsidRDefault="000C41FA" w:rsidP="0013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C41FA">
        <w:rPr>
          <w:rFonts w:cstheme="minorHAnsi"/>
          <w:b/>
          <w:i/>
          <w:sz w:val="24"/>
          <w:szCs w:val="24"/>
        </w:rPr>
        <w:t>Komentar:</w:t>
      </w:r>
      <w:r>
        <w:rPr>
          <w:rFonts w:cstheme="minorHAnsi"/>
          <w:i/>
          <w:sz w:val="24"/>
          <w:szCs w:val="24"/>
        </w:rPr>
        <w:t xml:space="preserve"> </w:t>
      </w:r>
      <w:r w:rsidR="00D2520D" w:rsidRPr="000C41FA">
        <w:rPr>
          <w:rFonts w:cstheme="minorHAnsi"/>
          <w:i/>
          <w:sz w:val="24"/>
          <w:szCs w:val="24"/>
        </w:rPr>
        <w:t>92</w:t>
      </w:r>
      <w:r w:rsidR="00136836" w:rsidRPr="000C41FA">
        <w:rPr>
          <w:rFonts w:cstheme="minorHAnsi"/>
          <w:i/>
          <w:sz w:val="24"/>
          <w:szCs w:val="24"/>
        </w:rPr>
        <w:t xml:space="preserve">% staršev, ki so izpolnili anketni vprašalnik, redno </w:t>
      </w:r>
      <w:r w:rsidR="00D2520D" w:rsidRPr="000C41FA">
        <w:rPr>
          <w:rFonts w:cstheme="minorHAnsi"/>
          <w:i/>
          <w:sz w:val="24"/>
          <w:szCs w:val="24"/>
        </w:rPr>
        <w:t xml:space="preserve">oz. vsaj občasno </w:t>
      </w:r>
      <w:r w:rsidR="00136836" w:rsidRPr="000C41FA">
        <w:rPr>
          <w:rFonts w:cstheme="minorHAnsi"/>
          <w:i/>
          <w:sz w:val="24"/>
          <w:szCs w:val="24"/>
        </w:rPr>
        <w:t xml:space="preserve">spremlja šolski jedilnik, kar kaže </w:t>
      </w:r>
      <w:r w:rsidR="00D2290E">
        <w:rPr>
          <w:rFonts w:cstheme="minorHAnsi"/>
          <w:i/>
          <w:sz w:val="24"/>
          <w:szCs w:val="24"/>
        </w:rPr>
        <w:t xml:space="preserve">na to, </w:t>
      </w:r>
      <w:r w:rsidR="00136836" w:rsidRPr="000C41FA">
        <w:rPr>
          <w:rFonts w:cstheme="minorHAnsi"/>
          <w:i/>
          <w:sz w:val="24"/>
          <w:szCs w:val="24"/>
        </w:rPr>
        <w:t xml:space="preserve">da se </w:t>
      </w:r>
      <w:r w:rsidR="00D2520D" w:rsidRPr="000C41FA">
        <w:rPr>
          <w:rFonts w:cstheme="minorHAnsi"/>
          <w:i/>
          <w:sz w:val="24"/>
          <w:szCs w:val="24"/>
        </w:rPr>
        <w:t>velika večina vprašanih</w:t>
      </w:r>
      <w:r w:rsidR="00136836" w:rsidRPr="000C41FA">
        <w:rPr>
          <w:rFonts w:cstheme="minorHAnsi"/>
          <w:i/>
          <w:sz w:val="24"/>
          <w:szCs w:val="24"/>
        </w:rPr>
        <w:t xml:space="preserve"> staršev zanima za šolsko prehrano svojih otrok. </w:t>
      </w:r>
      <w:r w:rsidRPr="000C41FA">
        <w:rPr>
          <w:rFonts w:cstheme="minorHAnsi"/>
          <w:i/>
          <w:sz w:val="24"/>
          <w:szCs w:val="24"/>
        </w:rPr>
        <w:t xml:space="preserve">Za ostale starše predvidevamo, da </w:t>
      </w:r>
      <w:r w:rsidR="00D2290E" w:rsidRPr="000C41FA">
        <w:rPr>
          <w:rFonts w:cstheme="minorHAnsi"/>
          <w:i/>
          <w:sz w:val="24"/>
          <w:szCs w:val="24"/>
        </w:rPr>
        <w:t xml:space="preserve">zaupajo ustreznosti jedilnika </w:t>
      </w:r>
      <w:r w:rsidR="00D2290E">
        <w:rPr>
          <w:rFonts w:cstheme="minorHAnsi"/>
          <w:i/>
          <w:sz w:val="24"/>
          <w:szCs w:val="24"/>
        </w:rPr>
        <w:t>oz. se za jedilnik ne zanimajo</w:t>
      </w:r>
      <w:r w:rsidRPr="000C41FA">
        <w:rPr>
          <w:rFonts w:cstheme="minorHAnsi"/>
          <w:i/>
          <w:sz w:val="24"/>
          <w:szCs w:val="24"/>
        </w:rPr>
        <w:t>.</w:t>
      </w:r>
    </w:p>
    <w:p w:rsidR="00D2520D" w:rsidRDefault="00D2520D" w:rsidP="0013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41FA" w:rsidRDefault="000C41FA" w:rsidP="0013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25E" w:rsidRPr="00304344" w:rsidRDefault="000A725E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33EA6" w:rsidRDefault="006F6795" w:rsidP="00D33EA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41FA">
        <w:rPr>
          <w:rFonts w:cstheme="minorHAnsi"/>
          <w:b/>
          <w:bCs/>
          <w:sz w:val="24"/>
          <w:szCs w:val="24"/>
        </w:rPr>
        <w:t>Na kakšen način pridobivate informacije o šolskem jedilniku?</w:t>
      </w:r>
    </w:p>
    <w:tbl>
      <w:tblPr>
        <w:tblpPr w:leftFromText="141" w:rightFromText="141" w:vertAnchor="text" w:horzAnchor="page" w:tblpX="2039" w:tblpY="541"/>
        <w:tblW w:w="6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</w:tblGrid>
      <w:tr w:rsidR="000C41FA" w:rsidRPr="00D33EA6" w:rsidTr="000C41FA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</w:tr>
      <w:tr w:rsidR="000C41FA" w:rsidRPr="00D33EA6" w:rsidTr="000C41FA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šolska oglasna deska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Pr="00D33EA6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0C41FA" w:rsidRPr="00D33EA6" w:rsidTr="000C41FA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šolska spletna stran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Pr="00D33EA6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0C41FA" w:rsidRPr="00D33EA6" w:rsidTr="000C41FA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preko otroka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D33EA6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0C41FA" w:rsidRPr="00D33EA6" w:rsidTr="000C41FA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brez odgovora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16%</w:t>
            </w:r>
          </w:p>
        </w:tc>
      </w:tr>
      <w:tr w:rsidR="000C41FA" w:rsidRPr="00D33EA6" w:rsidTr="000C41FA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0C41FA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A" w:rsidRPr="00D33EA6" w:rsidRDefault="000C41FA" w:rsidP="000C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</w:tr>
    </w:tbl>
    <w:p w:rsidR="000C41FA" w:rsidRPr="000C41FA" w:rsidRDefault="000C41FA" w:rsidP="000C41F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33EA6" w:rsidRDefault="00D33EA6" w:rsidP="00D25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4344">
        <w:rPr>
          <w:rFonts w:cstheme="minorHAnsi"/>
          <w:b/>
          <w:bCs/>
          <w:noProof/>
          <w:sz w:val="16"/>
          <w:szCs w:val="16"/>
          <w:lang w:eastAsia="sl-SI"/>
        </w:rPr>
        <w:lastRenderedPageBreak/>
        <w:drawing>
          <wp:inline distT="0" distB="0" distL="0" distR="0" wp14:anchorId="52AA570B" wp14:editId="6BDA1F7A">
            <wp:extent cx="5213268" cy="2375065"/>
            <wp:effectExtent l="0" t="0" r="26035" b="2540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520D" w:rsidRDefault="00D2520D" w:rsidP="00D252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520D" w:rsidRDefault="00D2520D" w:rsidP="00D252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2520D" w:rsidRPr="00D2290E" w:rsidRDefault="00D2290E" w:rsidP="00D2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D2290E">
        <w:rPr>
          <w:rFonts w:cstheme="minorHAnsi"/>
          <w:b/>
          <w:bCs/>
          <w:i/>
          <w:sz w:val="24"/>
          <w:szCs w:val="24"/>
        </w:rPr>
        <w:t>Komentar:</w:t>
      </w:r>
      <w:r w:rsidRPr="00D2290E">
        <w:rPr>
          <w:rFonts w:cstheme="minorHAnsi"/>
          <w:bCs/>
          <w:i/>
          <w:sz w:val="24"/>
          <w:szCs w:val="24"/>
        </w:rPr>
        <w:t xml:space="preserve"> </w:t>
      </w:r>
      <w:r w:rsidR="00D2520D" w:rsidRPr="00D2290E">
        <w:rPr>
          <w:rFonts w:cstheme="minorHAnsi"/>
          <w:bCs/>
          <w:i/>
          <w:sz w:val="24"/>
          <w:szCs w:val="24"/>
        </w:rPr>
        <w:t>Največ staršev se o jedilniku pozanima preko šolske oglasne deske</w:t>
      </w:r>
      <w:r w:rsidR="002E216A" w:rsidRPr="00D2290E">
        <w:rPr>
          <w:rFonts w:cstheme="minorHAnsi"/>
          <w:bCs/>
          <w:i/>
          <w:sz w:val="24"/>
          <w:szCs w:val="24"/>
        </w:rPr>
        <w:t xml:space="preserve"> (41%) in šolske spletne strani (31%)</w:t>
      </w:r>
      <w:r>
        <w:rPr>
          <w:rFonts w:cstheme="minorHAnsi"/>
          <w:bCs/>
          <w:i/>
          <w:sz w:val="24"/>
          <w:szCs w:val="24"/>
        </w:rPr>
        <w:t>, zaradi česar je tudi v prihodnje potrebno objavljati jedilnike na tovrstne načine</w:t>
      </w:r>
      <w:r w:rsidR="002E216A" w:rsidRPr="00D2290E">
        <w:rPr>
          <w:rFonts w:cstheme="minorHAnsi"/>
          <w:bCs/>
          <w:i/>
          <w:sz w:val="24"/>
          <w:szCs w:val="24"/>
        </w:rPr>
        <w:t>.</w:t>
      </w:r>
      <w:r>
        <w:rPr>
          <w:rFonts w:cstheme="minorHAnsi"/>
          <w:bCs/>
          <w:i/>
          <w:sz w:val="24"/>
          <w:szCs w:val="24"/>
        </w:rPr>
        <w:t xml:space="preserve"> 12% staršev se o jedilniku pozanima preko pogovora s svojim otrokom. Kar 16%  staršev pa na vprašanje ni odgovorilo, iz česar sklepamo, da se jim vsebina jedilnika ne zdi pomembna.</w:t>
      </w:r>
    </w:p>
    <w:p w:rsidR="00304344" w:rsidRPr="00D33EA6" w:rsidRDefault="00304344" w:rsidP="00D33E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04344" w:rsidRDefault="00304344" w:rsidP="00304344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/>
          <w:bCs/>
          <w:sz w:val="24"/>
          <w:szCs w:val="24"/>
        </w:rPr>
      </w:pPr>
    </w:p>
    <w:p w:rsidR="00C625E5" w:rsidRPr="00304344" w:rsidRDefault="00C625E5" w:rsidP="00304344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/>
          <w:bCs/>
          <w:sz w:val="24"/>
          <w:szCs w:val="24"/>
        </w:rPr>
      </w:pPr>
    </w:p>
    <w:p w:rsidR="00304344" w:rsidRPr="00304344" w:rsidRDefault="00304344" w:rsidP="00304344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04344">
        <w:rPr>
          <w:rFonts w:cstheme="minorHAnsi"/>
          <w:b/>
          <w:bCs/>
          <w:sz w:val="24"/>
          <w:szCs w:val="24"/>
        </w:rPr>
        <w:t>Ali menite, da so naši jedilniki ustrezno sestavljeni?</w:t>
      </w:r>
    </w:p>
    <w:tbl>
      <w:tblPr>
        <w:tblW w:w="96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5779"/>
      </w:tblGrid>
      <w:tr w:rsidR="00304344" w:rsidRPr="00D33EA6" w:rsidTr="008A0B5C">
        <w:trPr>
          <w:trHeight w:val="400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04344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25E5" w:rsidRPr="00D33EA6" w:rsidRDefault="00C625E5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vMerge w:val="restart"/>
            <w:tcBorders>
              <w:left w:val="nil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  <w:r w:rsidRPr="00D33EA6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   </w:t>
            </w:r>
          </w:p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</w:p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  <w:r w:rsidRPr="00D33EA6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      </w:t>
            </w:r>
          </w:p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      </w:t>
            </w:r>
            <w:r w:rsidR="008A0B5C">
              <w:rPr>
                <w:rFonts w:cstheme="minorHAnsi"/>
                <w:b/>
                <w:bCs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2766951" cy="1246909"/>
                  <wp:effectExtent l="0" t="0" r="0" b="0"/>
                  <wp:docPr id="5" name="Grafikon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04344" w:rsidRPr="00D33EA6" w:rsidTr="008A0B5C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4344" w:rsidRPr="00D33EA6" w:rsidTr="008A0B5C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1 (običajno)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8A0B5C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2 (občasno)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14%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8A0B5C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3 (redko)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4%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8A0B5C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4 (brez odgovora)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2%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8A0B5C">
        <w:trPr>
          <w:trHeight w:val="3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5779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4344" w:rsidRDefault="00304344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625E5" w:rsidRPr="00304344" w:rsidRDefault="00C625E5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04344" w:rsidRDefault="00D2290E" w:rsidP="00C1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290E">
        <w:rPr>
          <w:rFonts w:cstheme="minorHAnsi"/>
          <w:b/>
          <w:bCs/>
          <w:i/>
          <w:sz w:val="24"/>
          <w:szCs w:val="24"/>
        </w:rPr>
        <w:t>Komentar:</w:t>
      </w:r>
      <w:r w:rsidRPr="00D2290E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Večina staršev meni, da so jedilniki ustrezno sestavljeni, iz česar sklepamo, da zaupajo </w:t>
      </w:r>
      <w:r w:rsidR="00C10B35">
        <w:rPr>
          <w:rFonts w:cstheme="minorHAnsi"/>
          <w:bCs/>
          <w:i/>
          <w:sz w:val="24"/>
          <w:szCs w:val="24"/>
        </w:rPr>
        <w:t>šoli, da sledi smernicam zdrave in uravnotežene prehrane.</w:t>
      </w:r>
      <w:r w:rsidR="003C5163">
        <w:rPr>
          <w:rFonts w:cstheme="minorHAnsi"/>
          <w:bCs/>
          <w:i/>
          <w:sz w:val="24"/>
          <w:szCs w:val="24"/>
        </w:rPr>
        <w:t xml:space="preserve"> Dva starša sta mnenja, da so jedilniki redko ustrezno sestavljeni. Na tem mestu bi nas zanimale podrobne informacije o mnenju teh staršev, ki bi nam pojasnile v kakšnem smislu so jedilniki manj ustrezni.</w:t>
      </w:r>
    </w:p>
    <w:p w:rsidR="003C5163" w:rsidRDefault="003C5163">
      <w:pPr>
        <w:rPr>
          <w:rFonts w:cstheme="minorHAnsi"/>
          <w:b/>
          <w:bCs/>
          <w:sz w:val="24"/>
          <w:szCs w:val="24"/>
        </w:rPr>
      </w:pPr>
    </w:p>
    <w:p w:rsidR="00C625E5" w:rsidRDefault="00C625E5">
      <w:pPr>
        <w:rPr>
          <w:rFonts w:cstheme="minorHAnsi"/>
          <w:b/>
          <w:bCs/>
          <w:sz w:val="24"/>
          <w:szCs w:val="24"/>
        </w:rPr>
      </w:pPr>
    </w:p>
    <w:p w:rsidR="00C625E5" w:rsidRDefault="00C625E5">
      <w:pPr>
        <w:rPr>
          <w:rFonts w:cstheme="minorHAnsi"/>
          <w:b/>
          <w:bCs/>
          <w:sz w:val="24"/>
          <w:szCs w:val="24"/>
        </w:rPr>
      </w:pPr>
    </w:p>
    <w:p w:rsidR="00C625E5" w:rsidRDefault="00C625E5">
      <w:pPr>
        <w:rPr>
          <w:rFonts w:cstheme="minorHAnsi"/>
          <w:b/>
          <w:bCs/>
          <w:sz w:val="24"/>
          <w:szCs w:val="24"/>
        </w:rPr>
      </w:pPr>
    </w:p>
    <w:p w:rsidR="00304344" w:rsidRPr="003C5163" w:rsidRDefault="00304344" w:rsidP="00304344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33EA6">
        <w:rPr>
          <w:rFonts w:cstheme="minorHAnsi"/>
          <w:b/>
          <w:bCs/>
          <w:sz w:val="24"/>
          <w:szCs w:val="24"/>
        </w:rPr>
        <w:lastRenderedPageBreak/>
        <w:t>Ali se z vašim otrokom pogovarjate o naši prehrani?</w:t>
      </w:r>
    </w:p>
    <w:p w:rsidR="003C5163" w:rsidRDefault="003C5163" w:rsidP="003C51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C5163" w:rsidRPr="003C5163" w:rsidRDefault="003C5163" w:rsidP="003C51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6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992"/>
      </w:tblGrid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</w:tr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1 (redno)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49%</w:t>
            </w:r>
          </w:p>
        </w:tc>
      </w:tr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2 (občasno)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39%</w:t>
            </w:r>
          </w:p>
        </w:tc>
      </w:tr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3 (ne)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10%</w:t>
            </w:r>
          </w:p>
        </w:tc>
      </w:tr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4 (brez odgovora)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3C5163" w:rsidRPr="00D33EA6" w:rsidTr="003C5163">
        <w:trPr>
          <w:trHeight w:val="40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3" w:rsidRPr="00D33EA6" w:rsidRDefault="003C5163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</w:tr>
    </w:tbl>
    <w:p w:rsidR="00304344" w:rsidRDefault="00304344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625E5" w:rsidRDefault="00C625E5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33EA6" w:rsidRDefault="003C5163" w:rsidP="00CD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D2290E">
        <w:rPr>
          <w:rFonts w:cstheme="minorHAnsi"/>
          <w:b/>
          <w:bCs/>
          <w:i/>
          <w:sz w:val="24"/>
          <w:szCs w:val="24"/>
        </w:rPr>
        <w:t>Komentar:</w:t>
      </w:r>
      <w:r w:rsidRPr="00D2290E">
        <w:rPr>
          <w:rFonts w:cstheme="minorHAnsi"/>
          <w:bCs/>
          <w:i/>
          <w:sz w:val="24"/>
          <w:szCs w:val="24"/>
        </w:rPr>
        <w:t xml:space="preserve"> </w:t>
      </w:r>
      <w:r w:rsidR="00CD723D">
        <w:rPr>
          <w:rFonts w:cstheme="minorHAnsi"/>
          <w:bCs/>
          <w:i/>
          <w:sz w:val="24"/>
          <w:szCs w:val="24"/>
        </w:rPr>
        <w:t xml:space="preserve">O šolski prehrani se s svojim otrokom skoraj polovica </w:t>
      </w:r>
      <w:r>
        <w:rPr>
          <w:rFonts w:cstheme="minorHAnsi"/>
          <w:bCs/>
          <w:i/>
          <w:sz w:val="24"/>
          <w:szCs w:val="24"/>
        </w:rPr>
        <w:t>staršev</w:t>
      </w:r>
      <w:r w:rsidR="00CD723D">
        <w:rPr>
          <w:rFonts w:cstheme="minorHAnsi"/>
          <w:bCs/>
          <w:i/>
          <w:sz w:val="24"/>
          <w:szCs w:val="24"/>
        </w:rPr>
        <w:t xml:space="preserve"> redno pogovarja, dobra tretjina pa občasno. 5 staršev, ki je izpolnjevalo anketo, pravi, da se s svojimi otroki ne pogovarja o prehrani v šoli, kar si razlagamo s tem, da nekateri naši učenci niso zmožni tovrstne komunikacije oz. razumevanja.</w:t>
      </w:r>
    </w:p>
    <w:p w:rsidR="00CD723D" w:rsidRDefault="00CD723D" w:rsidP="00CD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04344" w:rsidRDefault="00304344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625E5" w:rsidRPr="00304344" w:rsidRDefault="00C625E5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04344" w:rsidRPr="00304344" w:rsidRDefault="00304344" w:rsidP="00304344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04344">
        <w:rPr>
          <w:rFonts w:cstheme="minorHAnsi"/>
          <w:b/>
          <w:bCs/>
          <w:sz w:val="24"/>
          <w:szCs w:val="24"/>
        </w:rPr>
        <w:t xml:space="preserve">  Ali je vaš otrok zadovoljen z našo prehrano?</w:t>
      </w:r>
    </w:p>
    <w:tbl>
      <w:tblPr>
        <w:tblW w:w="994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5557"/>
      </w:tblGrid>
      <w:tr w:rsidR="00304344" w:rsidRPr="00D33EA6" w:rsidTr="00A67EBA">
        <w:trPr>
          <w:trHeight w:val="419"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vMerge w:val="restart"/>
            <w:tcBorders>
              <w:left w:val="nil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</w:p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</w:p>
          <w:p w:rsidR="00A67EBA" w:rsidRDefault="00CD723D" w:rsidP="00C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sl-SI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  <w:r w:rsidR="00DD0878" w:rsidRPr="00D33EA6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</w:p>
          <w:p w:rsidR="00304344" w:rsidRPr="00D33EA6" w:rsidRDefault="00D33EA6" w:rsidP="00C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</w:t>
            </w:r>
            <w:r w:rsidR="00A67EBA">
              <w:rPr>
                <w:rFonts w:cstheme="minorHAnsi"/>
                <w:b/>
                <w:bCs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97A2302" wp14:editId="3D9DD71A">
                  <wp:extent cx="2565070" cy="1353787"/>
                  <wp:effectExtent l="0" t="0" r="6985" b="0"/>
                  <wp:docPr id="7" name="Grafikon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04344" w:rsidRPr="00D33EA6" w:rsidTr="00A67EBA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4344" w:rsidRPr="00D33EA6" w:rsidTr="00A67EBA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1 (pogosto)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71%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A67EBA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2 (občasno)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16%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A67EBA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3 (redko)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8%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A67EBA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4 (ne vem)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4%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344" w:rsidRPr="00D33EA6" w:rsidTr="00A67EBA">
        <w:trPr>
          <w:trHeight w:val="6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5557" w:type="dxa"/>
            <w:vMerge/>
            <w:tcBorders>
              <w:left w:val="single" w:sz="4" w:space="0" w:color="auto"/>
            </w:tcBorders>
          </w:tcPr>
          <w:p w:rsidR="00304344" w:rsidRPr="00D33EA6" w:rsidRDefault="00304344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4344" w:rsidRDefault="00304344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625E5" w:rsidRDefault="00C625E5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D0878" w:rsidRDefault="00CD723D" w:rsidP="00CD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290E">
        <w:rPr>
          <w:rFonts w:cstheme="minorHAnsi"/>
          <w:b/>
          <w:bCs/>
          <w:i/>
          <w:sz w:val="24"/>
          <w:szCs w:val="24"/>
        </w:rPr>
        <w:t>Komentar:</w:t>
      </w:r>
      <w:r w:rsidRPr="00D2290E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Iz rezultatov v zgornji tabeli in grafa lahko sklepamo, da so starši </w:t>
      </w:r>
      <w:r w:rsidR="002D0951">
        <w:rPr>
          <w:rFonts w:cstheme="minorHAnsi"/>
          <w:bCs/>
          <w:i/>
          <w:sz w:val="24"/>
          <w:szCs w:val="24"/>
        </w:rPr>
        <w:t xml:space="preserve">v 71% </w:t>
      </w:r>
      <w:r>
        <w:rPr>
          <w:rFonts w:cstheme="minorHAnsi"/>
          <w:bCs/>
          <w:i/>
          <w:sz w:val="24"/>
          <w:szCs w:val="24"/>
        </w:rPr>
        <w:t>mnenja, da so njihovi otroci zadovoljni s šolsko prehrano.</w:t>
      </w:r>
      <w:r w:rsidR="003A3582">
        <w:rPr>
          <w:rFonts w:cstheme="minorHAnsi"/>
          <w:bCs/>
          <w:i/>
          <w:sz w:val="24"/>
          <w:szCs w:val="24"/>
        </w:rPr>
        <w:t xml:space="preserve"> Sklepamo, da mnenje staršev večinoma izhaja iz pogovorov s s</w:t>
      </w:r>
      <w:r w:rsidR="00C625E5">
        <w:rPr>
          <w:rFonts w:cstheme="minorHAnsi"/>
          <w:bCs/>
          <w:i/>
          <w:sz w:val="24"/>
          <w:szCs w:val="24"/>
        </w:rPr>
        <w:t>vojimi otroki o šolski prehrani</w:t>
      </w:r>
      <w:r w:rsidR="003A3582">
        <w:rPr>
          <w:rFonts w:cstheme="minorHAnsi"/>
          <w:bCs/>
          <w:i/>
          <w:sz w:val="24"/>
          <w:szCs w:val="24"/>
        </w:rPr>
        <w:t xml:space="preserve"> kot kažejo </w:t>
      </w:r>
      <w:r w:rsidR="00C625E5">
        <w:rPr>
          <w:rFonts w:cstheme="minorHAnsi"/>
          <w:bCs/>
          <w:i/>
          <w:sz w:val="24"/>
          <w:szCs w:val="24"/>
        </w:rPr>
        <w:t xml:space="preserve">tudi </w:t>
      </w:r>
      <w:r w:rsidR="003A3582">
        <w:rPr>
          <w:rFonts w:cstheme="minorHAnsi"/>
          <w:bCs/>
          <w:i/>
          <w:sz w:val="24"/>
          <w:szCs w:val="24"/>
        </w:rPr>
        <w:t>rezultati 4. vprašanja ankete. 8% staršev poroča, da so njihovi otroci redko zadovoljni s prehrano v šoli</w:t>
      </w:r>
      <w:r w:rsidR="002D0951">
        <w:rPr>
          <w:rFonts w:cstheme="minorHAnsi"/>
          <w:bCs/>
          <w:i/>
          <w:sz w:val="24"/>
          <w:szCs w:val="24"/>
        </w:rPr>
        <w:t xml:space="preserve">. Iz ankete, ki so </w:t>
      </w:r>
      <w:r w:rsidR="00030D31">
        <w:rPr>
          <w:rFonts w:cstheme="minorHAnsi"/>
          <w:bCs/>
          <w:i/>
          <w:sz w:val="24"/>
          <w:szCs w:val="24"/>
        </w:rPr>
        <w:t xml:space="preserve">jo </w:t>
      </w:r>
      <w:r w:rsidR="002D0951">
        <w:rPr>
          <w:rFonts w:cstheme="minorHAnsi"/>
          <w:bCs/>
          <w:i/>
          <w:sz w:val="24"/>
          <w:szCs w:val="24"/>
        </w:rPr>
        <w:t>izpo</w:t>
      </w:r>
      <w:r w:rsidR="00030D31">
        <w:rPr>
          <w:rFonts w:cstheme="minorHAnsi"/>
          <w:bCs/>
          <w:i/>
          <w:sz w:val="24"/>
          <w:szCs w:val="24"/>
        </w:rPr>
        <w:t>lnjevali učenci pa izhaja, da je</w:t>
      </w:r>
      <w:r w:rsidR="002D0951">
        <w:rPr>
          <w:rFonts w:cstheme="minorHAnsi"/>
          <w:bCs/>
          <w:i/>
          <w:sz w:val="24"/>
          <w:szCs w:val="24"/>
        </w:rPr>
        <w:t xml:space="preserve"> </w:t>
      </w:r>
      <w:r w:rsidR="00030D31">
        <w:rPr>
          <w:rFonts w:cstheme="minorHAnsi"/>
          <w:bCs/>
          <w:i/>
          <w:sz w:val="24"/>
          <w:szCs w:val="24"/>
        </w:rPr>
        <w:t>v povprečju 86% otrok s šolsko prehrano (zajtrk, malica, kosilo) popolnoma zadovoljnih.</w:t>
      </w:r>
    </w:p>
    <w:p w:rsidR="00DD0878" w:rsidRDefault="00DD0878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625E5" w:rsidRDefault="00C625E5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A3582" w:rsidRPr="00304344" w:rsidRDefault="003A3582" w:rsidP="003043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A725E" w:rsidRPr="000E0881" w:rsidRDefault="00DD0878" w:rsidP="003B40BB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D0878">
        <w:rPr>
          <w:rFonts w:cstheme="minorHAnsi"/>
          <w:b/>
          <w:bCs/>
          <w:sz w:val="24"/>
          <w:szCs w:val="24"/>
        </w:rPr>
        <w:t>Ali menite, da šola izvaja dovolj dejavnosti, s katerimi spodbuja zdravo prehranjevanje in kulturo prehranjevanja (shema šolskega sadja, tradicionalni slovenski zajtrk, interesna dejavnost jejmo bio vsi ipd.)?</w:t>
      </w:r>
    </w:p>
    <w:p w:rsidR="000E0881" w:rsidRPr="000E0881" w:rsidRDefault="000E0881" w:rsidP="000E0881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cstheme="minorHAnsi"/>
          <w:b/>
          <w:sz w:val="24"/>
          <w:szCs w:val="24"/>
        </w:rPr>
      </w:pPr>
    </w:p>
    <w:p w:rsidR="000E0881" w:rsidRDefault="000E0881" w:rsidP="000E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noProof/>
          <w:sz w:val="20"/>
          <w:szCs w:val="20"/>
          <w:lang w:eastAsia="sl-SI"/>
        </w:rPr>
        <w:drawing>
          <wp:inline distT="0" distB="0" distL="0" distR="0" wp14:anchorId="4572CD12" wp14:editId="6031FABD">
            <wp:extent cx="5130140" cy="2315688"/>
            <wp:effectExtent l="0" t="0" r="13970" b="2794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0881" w:rsidRDefault="000E0881" w:rsidP="000E088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E0881" w:rsidRPr="000E0881" w:rsidRDefault="000E0881" w:rsidP="000E088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5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0E0881" w:rsidRPr="00D33EA6" w:rsidTr="000E0881">
        <w:trPr>
          <w:trHeight w:val="4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Frekvenca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EA6">
              <w:rPr>
                <w:rFonts w:cstheme="minorHAnsi"/>
                <w:b/>
                <w:bCs/>
                <w:sz w:val="20"/>
                <w:szCs w:val="20"/>
              </w:rPr>
              <w:t>Odstotek</w:t>
            </w:r>
          </w:p>
        </w:tc>
      </w:tr>
      <w:tr w:rsidR="000E0881" w:rsidRPr="00D33EA6" w:rsidTr="000E0881">
        <w:trPr>
          <w:trHeight w:val="40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1 (da)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96%</w:t>
            </w:r>
          </w:p>
        </w:tc>
      </w:tr>
      <w:tr w:rsidR="000E0881" w:rsidRPr="00D33EA6" w:rsidTr="000E0881">
        <w:trPr>
          <w:trHeight w:val="40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2 (ne)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E0881" w:rsidRPr="00D33EA6" w:rsidTr="000E0881">
        <w:trPr>
          <w:trHeight w:val="40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 xml:space="preserve">  3 (brez odgovora)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EA6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E0881" w:rsidRPr="00D33EA6" w:rsidTr="000E0881">
        <w:trPr>
          <w:trHeight w:val="40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 xml:space="preserve">  Skupaj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81" w:rsidRPr="00D33EA6" w:rsidRDefault="000E0881" w:rsidP="0057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EA6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</w:tr>
    </w:tbl>
    <w:p w:rsidR="000A725E" w:rsidRDefault="000A725E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625E5" w:rsidRPr="00304344" w:rsidRDefault="00C625E5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05A8E" w:rsidRPr="00304344" w:rsidRDefault="00526F05" w:rsidP="00526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3A3582" w:rsidRPr="00D2290E">
        <w:rPr>
          <w:rFonts w:cstheme="minorHAnsi"/>
          <w:b/>
          <w:bCs/>
          <w:i/>
          <w:sz w:val="24"/>
          <w:szCs w:val="24"/>
        </w:rPr>
        <w:t>Komentar:</w:t>
      </w:r>
      <w:r w:rsidR="003A3582" w:rsidRPr="00D2290E">
        <w:rPr>
          <w:rFonts w:cstheme="minorHAnsi"/>
          <w:bCs/>
          <w:i/>
          <w:sz w:val="24"/>
          <w:szCs w:val="24"/>
        </w:rPr>
        <w:t xml:space="preserve"> </w:t>
      </w:r>
      <w:r w:rsidR="003A3582">
        <w:rPr>
          <w:rFonts w:cstheme="minorHAnsi"/>
          <w:bCs/>
          <w:i/>
          <w:sz w:val="24"/>
          <w:szCs w:val="24"/>
        </w:rPr>
        <w:t>Naša šola je zavezana k spremljanju smernic in trendov zdrave prehrane</w:t>
      </w:r>
      <w:r>
        <w:rPr>
          <w:rFonts w:cstheme="minorHAnsi"/>
          <w:bCs/>
          <w:i/>
          <w:sz w:val="24"/>
          <w:szCs w:val="24"/>
        </w:rPr>
        <w:t>, zato se vključuje v različne dejavnosti, ki spodbujajo kulturo zdravega in uravnoteženega prehranjevanja. Starši se v veliki večini strinjajo, da je teh aktivnosti na šoli dovolj, iz česar sklepamo, da starši spodbujajo vključevanje in izvajanje tovrstnih dejavnosti.</w:t>
      </w:r>
    </w:p>
    <w:p w:rsidR="00304344" w:rsidRDefault="00304344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E0881" w:rsidRDefault="000E0881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E0881" w:rsidRPr="00304344" w:rsidRDefault="000E0881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04344" w:rsidRPr="00304344" w:rsidRDefault="00304344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05A8E" w:rsidRPr="00DD0878" w:rsidRDefault="00DD0878" w:rsidP="00304344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D0878">
        <w:rPr>
          <w:rFonts w:cstheme="minorHAnsi"/>
          <w:b/>
          <w:bCs/>
          <w:sz w:val="24"/>
          <w:szCs w:val="24"/>
        </w:rPr>
        <w:t>Vaše pripombe na šolsko prehrano, predlogi, pohvale...</w:t>
      </w:r>
    </w:p>
    <w:p w:rsidR="00C05A8E" w:rsidRPr="00304344" w:rsidRDefault="00C05A8E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B40BB" w:rsidRPr="00304344" w:rsidRDefault="003B40BB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2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E0881">
              <w:rPr>
                <w:rFonts w:cstheme="minorHAnsi"/>
                <w:b/>
                <w:bCs/>
                <w:sz w:val="20"/>
                <w:szCs w:val="20"/>
              </w:rPr>
              <w:t xml:space="preserve">  Odgovori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Več različnega sadja in zelenjave.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Nimam pripomb.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Nimam pripomb na prehrano, ker kuharice kuhajo zelo dobro hrano.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Nimamo pripomb glede šolske prehrane. Predvsem priporočamo, da je na jedilniku dosti sadja in zelenjave.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Ni pripomb.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C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Za naš okus je vse preveč suho (riž-suh, sendvič-skoraj prazen).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Preveč zelenjavnih jedi.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Za enkrat smo zadovoljni.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632852" w:rsidP="0063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D0878" w:rsidRPr="000E0881">
              <w:rPr>
                <w:rFonts w:cstheme="minorHAnsi"/>
                <w:sz w:val="20"/>
                <w:szCs w:val="20"/>
              </w:rPr>
              <w:t>Imate zelo okusno in različno hrano, za vsakega otroka posebej. Naš otrok je zelo zadovoljen z vsako hrano. Samo še tako naprej.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Moj otrok je zadovoljen s prehrano, večkrat pohvali, nimamo pritožb.</w:t>
            </w:r>
          </w:p>
        </w:tc>
      </w:tr>
      <w:tr w:rsidR="00DD0878" w:rsidRPr="000E0881" w:rsidTr="00632852">
        <w:trPr>
          <w:trHeight w:val="41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0E0881" w:rsidRDefault="00DD0878" w:rsidP="0038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881">
              <w:rPr>
                <w:rFonts w:cstheme="minorHAnsi"/>
                <w:sz w:val="20"/>
                <w:szCs w:val="20"/>
              </w:rPr>
              <w:t xml:space="preserve">  Same pohvale.</w:t>
            </w:r>
          </w:p>
        </w:tc>
      </w:tr>
    </w:tbl>
    <w:p w:rsidR="003B40BB" w:rsidRDefault="003B40BB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84688D" w:rsidRDefault="0084688D" w:rsidP="003B40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26F05" w:rsidRPr="00304344" w:rsidRDefault="00526F05" w:rsidP="00526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2290E">
        <w:rPr>
          <w:rFonts w:cstheme="minorHAnsi"/>
          <w:b/>
          <w:bCs/>
          <w:i/>
          <w:sz w:val="24"/>
          <w:szCs w:val="24"/>
        </w:rPr>
        <w:t>Komentar:</w:t>
      </w:r>
      <w:r w:rsidRPr="00D2290E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>78% vprašanih ni podalo pripomb, predlogov in pohval  na  šolsko prehrano. Starši, ki pa so podali svoje mnenje, so v večini šolsko prehrano, jedilnik in kuharice pohvalili oz. poudarili, da nimajo kritik in pripomb.</w:t>
      </w:r>
      <w:r w:rsidR="0088744C">
        <w:rPr>
          <w:rFonts w:cstheme="minorHAnsi"/>
          <w:bCs/>
          <w:i/>
          <w:sz w:val="24"/>
          <w:szCs w:val="24"/>
        </w:rPr>
        <w:t xml:space="preserve"> Priporočila, ki jih podajajo so več  sadja in zelenjave, manj zelenjavnih jedi ter nekoliko preveč suha hrana.</w:t>
      </w:r>
    </w:p>
    <w:sectPr w:rsidR="00526F05" w:rsidRPr="0030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E7" w:rsidRDefault="00EB78E7" w:rsidP="00304344">
      <w:pPr>
        <w:spacing w:after="0" w:line="240" w:lineRule="auto"/>
      </w:pPr>
      <w:r>
        <w:separator/>
      </w:r>
    </w:p>
  </w:endnote>
  <w:endnote w:type="continuationSeparator" w:id="0">
    <w:p w:rsidR="00EB78E7" w:rsidRDefault="00EB78E7" w:rsidP="0030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E7" w:rsidRDefault="00EB78E7" w:rsidP="00304344">
      <w:pPr>
        <w:spacing w:after="0" w:line="240" w:lineRule="auto"/>
      </w:pPr>
      <w:r>
        <w:separator/>
      </w:r>
    </w:p>
  </w:footnote>
  <w:footnote w:type="continuationSeparator" w:id="0">
    <w:p w:rsidR="00EB78E7" w:rsidRDefault="00EB78E7" w:rsidP="0030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337D"/>
    <w:multiLevelType w:val="hybridMultilevel"/>
    <w:tmpl w:val="F4BEC71E"/>
    <w:lvl w:ilvl="0" w:tplc="F4A86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2"/>
    <w:rsid w:val="00030D31"/>
    <w:rsid w:val="000A725E"/>
    <w:rsid w:val="000C41FA"/>
    <w:rsid w:val="000E0881"/>
    <w:rsid w:val="00136836"/>
    <w:rsid w:val="002D0951"/>
    <w:rsid w:val="002E216A"/>
    <w:rsid w:val="002E7573"/>
    <w:rsid w:val="00304344"/>
    <w:rsid w:val="00363070"/>
    <w:rsid w:val="0038715B"/>
    <w:rsid w:val="003A3582"/>
    <w:rsid w:val="003B40BB"/>
    <w:rsid w:val="003C5163"/>
    <w:rsid w:val="005157DD"/>
    <w:rsid w:val="00526F05"/>
    <w:rsid w:val="00562145"/>
    <w:rsid w:val="005C3B7E"/>
    <w:rsid w:val="00621B44"/>
    <w:rsid w:val="00632852"/>
    <w:rsid w:val="00644174"/>
    <w:rsid w:val="006A6052"/>
    <w:rsid w:val="006F6795"/>
    <w:rsid w:val="00775556"/>
    <w:rsid w:val="0084688D"/>
    <w:rsid w:val="0088744C"/>
    <w:rsid w:val="008A0B5C"/>
    <w:rsid w:val="009B7BE9"/>
    <w:rsid w:val="00A02810"/>
    <w:rsid w:val="00A47E95"/>
    <w:rsid w:val="00A67EBA"/>
    <w:rsid w:val="00AD6CA3"/>
    <w:rsid w:val="00C05A8E"/>
    <w:rsid w:val="00C10B35"/>
    <w:rsid w:val="00C3786E"/>
    <w:rsid w:val="00C625E5"/>
    <w:rsid w:val="00CD723D"/>
    <w:rsid w:val="00D2290E"/>
    <w:rsid w:val="00D2520D"/>
    <w:rsid w:val="00D33EA6"/>
    <w:rsid w:val="00DD0878"/>
    <w:rsid w:val="00DF58F6"/>
    <w:rsid w:val="00EB78E7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074C-ADDB-422D-804B-EEA18352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2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7B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4344"/>
  </w:style>
  <w:style w:type="paragraph" w:styleId="Noga">
    <w:name w:val="footer"/>
    <w:basedOn w:val="Navaden"/>
    <w:link w:val="NogaZnak"/>
    <w:uiPriority w:val="99"/>
    <w:unhideWhenUsed/>
    <w:rsid w:val="0030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1"/>
            <c:bubble3D val="0"/>
            <c:explosion val="4"/>
          </c:dPt>
          <c:dPt>
            <c:idx val="2"/>
            <c:bubble3D val="0"/>
            <c:explosion val="11"/>
          </c:dPt>
          <c:cat>
            <c:strRef>
              <c:f>List1!$A$2:$A$4</c:f>
              <c:strCache>
                <c:ptCount val="3"/>
                <c:pt idx="0">
                  <c:v>redno</c:v>
                </c:pt>
                <c:pt idx="1">
                  <c:v>občasno</c:v>
                </c:pt>
                <c:pt idx="2">
                  <c:v>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29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Odstotek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  šolska oglasna deska</c:v>
                </c:pt>
                <c:pt idx="1">
                  <c:v>šolska spletna stran</c:v>
                </c:pt>
                <c:pt idx="2">
                  <c:v>preko otroka</c:v>
                </c:pt>
                <c:pt idx="3">
                  <c:v>brez odgovora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0.40799999999999997</c:v>
                </c:pt>
                <c:pt idx="1">
                  <c:v>0.30599999999999999</c:v>
                </c:pt>
                <c:pt idx="2">
                  <c:v>0.12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02144"/>
        <c:axId val="255801360"/>
      </c:barChart>
      <c:catAx>
        <c:axId val="255802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sl-SI"/>
          </a:p>
        </c:txPr>
        <c:crossAx val="255801360"/>
        <c:crosses val="autoZero"/>
        <c:auto val="1"/>
        <c:lblAlgn val="ctr"/>
        <c:lblOffset val="100"/>
        <c:noMultiLvlLbl val="0"/>
      </c:catAx>
      <c:valAx>
        <c:axId val="255801360"/>
        <c:scaling>
          <c:orientation val="minMax"/>
          <c:max val="0.35000000000000003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5802144"/>
        <c:crosses val="autoZero"/>
        <c:crossBetween val="between"/>
        <c:majorUnit val="0.1"/>
        <c:minorUnit val="1.0000000000000002E-2"/>
      </c:valAx>
      <c:spPr>
        <a:ln w="9525" cmpd="sng"/>
        <a:effectLst>
          <a:glow>
            <a:schemeClr val="accent1">
              <a:alpha val="40000"/>
            </a:schemeClr>
          </a:glow>
          <a:softEdge rad="1066800"/>
        </a:effectLst>
      </c:spPr>
    </c:plotArea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800"/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explosion val="4"/>
          </c:dPt>
          <c:dPt>
            <c:idx val="1"/>
            <c:bubble3D val="0"/>
            <c:explosion val="12"/>
          </c:dPt>
          <c:dPt>
            <c:idx val="2"/>
            <c:bubble3D val="0"/>
            <c:explosion val="10"/>
          </c:dPt>
          <c:dPt>
            <c:idx val="3"/>
            <c:bubble3D val="0"/>
            <c:explosion val="14"/>
          </c:dPt>
          <c:cat>
            <c:strRef>
              <c:f>List1!$A$2:$A$5</c:f>
              <c:strCache>
                <c:ptCount val="4"/>
                <c:pt idx="0">
                  <c:v>običajno</c:v>
                </c:pt>
                <c:pt idx="1">
                  <c:v>občasno</c:v>
                </c:pt>
                <c:pt idx="2">
                  <c:v>redko</c:v>
                </c:pt>
                <c:pt idx="3">
                  <c:v>brez odgovora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39</c:v>
                </c:pt>
                <c:pt idx="1">
                  <c:v>7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explosion val="1"/>
          </c:dPt>
          <c:dPt>
            <c:idx val="1"/>
            <c:bubble3D val="0"/>
            <c:explosion val="5"/>
          </c:dPt>
          <c:dPt>
            <c:idx val="2"/>
            <c:bubble3D val="0"/>
            <c:explosion val="7"/>
          </c:dPt>
          <c:dPt>
            <c:idx val="3"/>
            <c:bubble3D val="0"/>
            <c:explosion val="8"/>
          </c:dPt>
          <c:cat>
            <c:strRef>
              <c:f>List1!$A$2:$A$5</c:f>
              <c:strCache>
                <c:ptCount val="4"/>
                <c:pt idx="0">
                  <c:v>pogosto</c:v>
                </c:pt>
                <c:pt idx="1">
                  <c:v>občasno</c:v>
                </c:pt>
                <c:pt idx="2">
                  <c:v>redko</c:v>
                </c:pt>
                <c:pt idx="3">
                  <c:v>ne vem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11331696204032"/>
          <c:y val="0.13152454262116878"/>
          <c:w val="0.36988661326267436"/>
          <c:h val="0.7367113398010600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70497898702892"/>
          <c:y val="0.12915566265603765"/>
          <c:w val="0.77526237558188982"/>
          <c:h val="0.827878407848205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brez odgovora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0.96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927880"/>
        <c:axId val="133313408"/>
      </c:barChart>
      <c:catAx>
        <c:axId val="2539278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33313408"/>
        <c:crosses val="autoZero"/>
        <c:auto val="1"/>
        <c:lblAlgn val="ctr"/>
        <c:lblOffset val="100"/>
        <c:noMultiLvlLbl val="0"/>
      </c:catAx>
      <c:valAx>
        <c:axId val="133313408"/>
        <c:scaling>
          <c:orientation val="minMax"/>
          <c:max val="1"/>
          <c:min val="0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253927880"/>
        <c:crosses val="autoZero"/>
        <c:crossBetween val="between"/>
        <c:majorUnit val="0.25"/>
      </c:valAx>
    </c:plotArea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Standard</cp:lastModifiedBy>
  <cp:revision>10</cp:revision>
  <dcterms:created xsi:type="dcterms:W3CDTF">2019-07-01T10:28:00Z</dcterms:created>
  <dcterms:modified xsi:type="dcterms:W3CDTF">2019-09-06T07:04:00Z</dcterms:modified>
</cp:coreProperties>
</file>